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center"/>
        <w:outlineLvl w:val="0"/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</w:pP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危险废物产生单位信息(20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年第</w:t>
      </w:r>
      <w:r>
        <w:rPr>
          <w:rFonts w:hint="eastAsia" w:ascii="Times New Roman" w:hAnsi="Times New Roman" w:eastAsia="宋体"/>
          <w:color w:val="auto"/>
          <w:positio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Times New Roman"/>
          <w:color w:val="auto"/>
          <w:position w:val="0"/>
          <w:sz w:val="44"/>
          <w:szCs w:val="44"/>
        </w:rPr>
        <w:t>季度）公开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60" w:line="460" w:lineRule="exact"/>
        <w:ind w:left="0" w:right="0" w:firstLine="0"/>
        <w:jc w:val="right"/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u w:val="none"/>
        </w:rPr>
        <w:t>单位：吨</w:t>
      </w:r>
    </w:p>
    <w:tbl>
      <w:tblPr>
        <w:tblStyle w:val="2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39"/>
        <w:gridCol w:w="2757"/>
        <w:gridCol w:w="1005"/>
        <w:gridCol w:w="1068"/>
        <w:gridCol w:w="3630"/>
        <w:gridCol w:w="813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企业名称</w:t>
            </w:r>
          </w:p>
        </w:tc>
        <w:tc>
          <w:tcPr>
            <w:tcW w:w="1339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主要产品</w:t>
            </w:r>
          </w:p>
        </w:tc>
        <w:tc>
          <w:tcPr>
            <w:tcW w:w="2757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危废种类和编号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实际产生量</w:t>
            </w:r>
          </w:p>
        </w:tc>
        <w:tc>
          <w:tcPr>
            <w:tcW w:w="1068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利用处置量</w:t>
            </w: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利用处置去向</w:t>
            </w:r>
          </w:p>
        </w:tc>
        <w:tc>
          <w:tcPr>
            <w:tcW w:w="81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库存量</w:t>
            </w:r>
          </w:p>
        </w:tc>
        <w:tc>
          <w:tcPr>
            <w:tcW w:w="1943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存在的危废问题和整改情况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1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江苏百澄特种钢管制造有限公司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二期）</w:t>
            </w:r>
          </w:p>
        </w:tc>
        <w:tc>
          <w:tcPr>
            <w:tcW w:w="1339" w:type="dxa"/>
            <w:vMerge w:val="restart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无缝钢管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30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757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蒸发结晶盐HW336-064-17</w:t>
            </w:r>
          </w:p>
        </w:tc>
        <w:tc>
          <w:tcPr>
            <w:tcW w:w="10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0.77</w:t>
            </w:r>
          </w:p>
        </w:tc>
        <w:tc>
          <w:tcPr>
            <w:tcW w:w="1068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0.77</w:t>
            </w:r>
          </w:p>
        </w:tc>
        <w:tc>
          <w:tcPr>
            <w:tcW w:w="1943" w:type="dxa"/>
            <w:vMerge w:val="restart"/>
            <w:shd w:val="clear" w:color="000000" w:fill="auto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1、对员工加强危险废物知识培训，提高业务水平。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both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2、危险废物标签不合规定，重新购买规范化的标签，按规定每袋（桶）悬挂。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1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2757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废包装物HW900-041-49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1068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0.206</w:t>
            </w:r>
          </w:p>
        </w:tc>
        <w:tc>
          <w:tcPr>
            <w:tcW w:w="363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江苏盈天环保科技有限公司</w:t>
            </w:r>
          </w:p>
        </w:tc>
        <w:tc>
          <w:tcPr>
            <w:tcW w:w="8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tcBorders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2757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废滤布HW900-041-49</w:t>
            </w:r>
          </w:p>
        </w:tc>
        <w:tc>
          <w:tcPr>
            <w:tcW w:w="10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0.522</w:t>
            </w:r>
          </w:p>
        </w:tc>
        <w:tc>
          <w:tcPr>
            <w:tcW w:w="1068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江苏盈天环保科技有限公司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tcBorders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1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2757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水处理</w:t>
            </w: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污泥HW336-064-17</w:t>
            </w:r>
          </w:p>
        </w:tc>
        <w:tc>
          <w:tcPr>
            <w:tcW w:w="1005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53.434</w:t>
            </w:r>
          </w:p>
        </w:tc>
        <w:tc>
          <w:tcPr>
            <w:tcW w:w="1068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45.112</w:t>
            </w:r>
          </w:p>
        </w:tc>
        <w:tc>
          <w:tcPr>
            <w:tcW w:w="3630" w:type="dxa"/>
            <w:tcBorders>
              <w:bottom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江苏盈天环保科技有限公司</w:t>
            </w:r>
          </w:p>
        </w:tc>
        <w:tc>
          <w:tcPr>
            <w:tcW w:w="81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15.296</w:t>
            </w:r>
          </w:p>
        </w:tc>
        <w:tc>
          <w:tcPr>
            <w:tcW w:w="1943" w:type="dxa"/>
            <w:vMerge w:val="continue"/>
            <w:tcBorders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1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2757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废酸污泥</w:t>
            </w:r>
            <w:r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  <w:t>HW336-064-17</w:t>
            </w:r>
          </w:p>
        </w:tc>
        <w:tc>
          <w:tcPr>
            <w:tcW w:w="1005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8.884</w:t>
            </w:r>
          </w:p>
        </w:tc>
        <w:tc>
          <w:tcPr>
            <w:tcW w:w="1068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8.236</w:t>
            </w:r>
          </w:p>
        </w:tc>
        <w:tc>
          <w:tcPr>
            <w:tcW w:w="3630" w:type="dxa"/>
            <w:tcBorders>
              <w:top w:val="single" w:color="000000" w:sz="4" w:space="0"/>
            </w:tcBorders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江苏盈天环保科技有限公司</w:t>
            </w:r>
          </w:p>
        </w:tc>
        <w:tc>
          <w:tcPr>
            <w:tcW w:w="813" w:type="dxa"/>
            <w:tcBorders>
              <w:top w:val="single" w:color="000000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8.884</w:t>
            </w:r>
          </w:p>
        </w:tc>
        <w:tc>
          <w:tcPr>
            <w:tcW w:w="1943" w:type="dxa"/>
            <w:vMerge w:val="continue"/>
            <w:tcBorders/>
            <w:shd w:val="clear" w:color="000000" w:fill="auto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1339" w:type="dxa"/>
            <w:vMerge w:val="continue"/>
            <w:tcBorders/>
            <w:shd w:val="clear" w:color="000000" w:fill="auto"/>
            <w:vAlign w:val="center"/>
          </w:tcPr>
          <w:p/>
        </w:tc>
        <w:tc>
          <w:tcPr>
            <w:tcW w:w="2757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槽渣HW336-064-17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6.346</w:t>
            </w:r>
          </w:p>
        </w:tc>
        <w:tc>
          <w:tcPr>
            <w:tcW w:w="1068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6.346</w:t>
            </w:r>
          </w:p>
        </w:tc>
        <w:tc>
          <w:tcPr>
            <w:tcW w:w="3630" w:type="dxa"/>
            <w:shd w:val="clear" w:color="000000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default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江苏盈天环保科技有限公司</w:t>
            </w:r>
          </w:p>
        </w:tc>
        <w:tc>
          <w:tcPr>
            <w:tcW w:w="81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160" w:line="460" w:lineRule="exact"/>
              <w:ind w:left="0" w:right="0" w:firstLine="0"/>
              <w:jc w:val="center"/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3" w:type="dxa"/>
            <w:vMerge w:val="continue"/>
            <w:tcBorders/>
            <w:shd w:val="clear" w:color="000000" w:fill="auto"/>
            <w:vAlign w:val="top"/>
          </w:tcPr>
          <w:p/>
        </w:tc>
      </w:tr>
    </w:tbl>
    <w:p>
      <w:bookmarkStart w:id="0" w:name="_GoBack"/>
      <w:bookmarkEnd w:id="0"/>
    </w:p>
    <w:sectPr>
      <w:footnotePr>
        <w:numFmt w:val="decimal"/>
      </w:footnotePr>
      <w:pgSz w:w="16838" w:h="11906" w:orient="landscape"/>
      <w:pgMar w:top="1440" w:right="1701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ZDhmYzNiZWFlMGY5Y2QxMTZhZDgzYjJhNGU0OTVmNzcifQ=="/>
  </w:docVars>
  <w:rsids>
    <w:rsidRoot w:val="00000000"/>
    <w:rsid w:val="059D3EC3"/>
    <w:rsid w:val="09FF0B55"/>
    <w:rsid w:val="0B046175"/>
    <w:rsid w:val="0B8F1B81"/>
    <w:rsid w:val="0C9F77C7"/>
    <w:rsid w:val="1CAD3D98"/>
    <w:rsid w:val="3FAA55F0"/>
    <w:rsid w:val="46801EED"/>
    <w:rsid w:val="482C010F"/>
    <w:rsid w:val="50751645"/>
    <w:rsid w:val="5176790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">
    <w:name w:val="heading 1"/>
    <w:basedOn w:val="1"/>
    <w:next w:val="1"/>
    <w:qFormat/>
    <w:uiPriority w:val="7"/>
    <w:pPr>
      <w:wordWrap w:val="0"/>
      <w:autoSpaceDE/>
      <w:autoSpaceDN/>
      <w:ind w:firstLine="0"/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next w:val="1"/>
    <w:qFormat/>
    <w:uiPriority w:val="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4">
    <w:name w:val="heading 3"/>
    <w:next w:val="1"/>
    <w:qFormat/>
    <w:uiPriority w:val="9"/>
    <w:pPr>
      <w:wordWrap w:val="0"/>
      <w:autoSpaceDE/>
      <w:autoSpaceDN/>
      <w:ind w:left="1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5">
    <w:name w:val="heading 4"/>
    <w:next w:val="1"/>
    <w:qFormat/>
    <w:uiPriority w:val="10"/>
    <w:pPr>
      <w:wordWrap w:val="0"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wordWrap w:val="0"/>
      <w:autoSpaceDE/>
      <w:autoSpaceDN/>
      <w:ind w:left="14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7">
    <w:name w:val="heading 6"/>
    <w:next w:val="1"/>
    <w:qFormat/>
    <w:uiPriority w:val="12"/>
    <w:pPr>
      <w:wordWrap w:val="0"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wordWrap w:val="0"/>
      <w:autoSpaceDE/>
      <w:autoSpaceDN/>
      <w:ind w:left="18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9">
    <w:name w:val="heading 8"/>
    <w:next w:val="1"/>
    <w:qFormat/>
    <w:uiPriority w:val="14"/>
    <w:pPr>
      <w:wordWrap w:val="0"/>
      <w:autoSpaceDE/>
      <w:autoSpaceDN/>
      <w:ind w:left="20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0">
    <w:name w:val="heading 9"/>
    <w:next w:val="1"/>
    <w:qFormat/>
    <w:uiPriority w:val="15"/>
    <w:pPr>
      <w:wordWrap w:val="0"/>
      <w:autoSpaceDE/>
      <w:autoSpaceDN/>
      <w:ind w:left="2200" w:hanging="400"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25">
    <w:name w:val="Default Paragraph Font"/>
    <w:semiHidden/>
    <w:unhideWhenUsed/>
    <w:qFormat/>
    <w:uiPriority w:val="2"/>
    <w:rPr>
      <w:sz w:val="21"/>
      <w:szCs w:val="21"/>
    </w:rPr>
  </w:style>
  <w:style w:type="table" w:default="1" w:styleId="2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autoSpaceDE/>
      <w:autoSpaceDN/>
      <w:ind w:left="25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wordWrap w:val="0"/>
      <w:autoSpaceDE/>
      <w:autoSpaceDN/>
      <w:ind w:left="17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wordWrap w:val="0"/>
      <w:autoSpaceDE/>
      <w:autoSpaceDN/>
      <w:ind w:left="29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5">
    <w:name w:val="foot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ind w:firstLine="0"/>
    </w:pPr>
    <w:rPr>
      <w:rFonts w:ascii="宋体" w:hAnsi="宋体" w:eastAsia="宋体"/>
      <w:sz w:val="18"/>
      <w:szCs w:val="18"/>
    </w:rPr>
  </w:style>
  <w:style w:type="paragraph" w:styleId="16">
    <w:name w:val="toc 1"/>
    <w:next w:val="1"/>
    <w:unhideWhenUsed/>
    <w:qFormat/>
    <w:uiPriority w:val="28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7">
    <w:name w:val="toc 4"/>
    <w:next w:val="1"/>
    <w:unhideWhenUsed/>
    <w:qFormat/>
    <w:uiPriority w:val="31"/>
    <w:pPr>
      <w:wordWrap w:val="0"/>
      <w:autoSpaceDE/>
      <w:autoSpaceDN/>
      <w:ind w:left="127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18">
    <w:name w:val="Subtitle"/>
    <w:qFormat/>
    <w:uiPriority w:val="1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sz w:val="24"/>
      <w:szCs w:val="24"/>
    </w:rPr>
  </w:style>
  <w:style w:type="paragraph" w:styleId="19">
    <w:name w:val="toc 6"/>
    <w:next w:val="1"/>
    <w:unhideWhenUsed/>
    <w:qFormat/>
    <w:uiPriority w:val="33"/>
    <w:pPr>
      <w:wordWrap w:val="0"/>
      <w:autoSpaceDE/>
      <w:autoSpaceDN/>
      <w:ind w:left="21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0">
    <w:name w:val="toc 2"/>
    <w:next w:val="1"/>
    <w:unhideWhenUsed/>
    <w:qFormat/>
    <w:uiPriority w:val="29"/>
    <w:pPr>
      <w:wordWrap w:val="0"/>
      <w:autoSpaceDE/>
      <w:autoSpaceDN/>
      <w:ind w:left="425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1">
    <w:name w:val="toc 9"/>
    <w:next w:val="1"/>
    <w:unhideWhenUsed/>
    <w:qFormat/>
    <w:uiPriority w:val="36"/>
    <w:pPr>
      <w:wordWrap w:val="0"/>
      <w:autoSpaceDE/>
      <w:autoSpaceDN/>
      <w:ind w:left="340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styleId="22">
    <w:name w:val="Title"/>
    <w:qFormat/>
    <w:uiPriority w:val="6"/>
    <w:pPr>
      <w:wordWrap w:val="0"/>
      <w:autoSpaceDE/>
      <w:autoSpaceDN/>
      <w:jc w:val="center"/>
    </w:pPr>
    <w:rPr>
      <w:rFonts w:asciiTheme="minorHAnsi" w:hAnsiTheme="minorHAnsi" w:eastAsiaTheme="minorEastAsia" w:cstheme="minorBidi"/>
      <w:b/>
      <w:sz w:val="32"/>
      <w:szCs w:val="32"/>
    </w:rPr>
  </w:style>
  <w:style w:type="table" w:styleId="24">
    <w:name w:val="Table Grid"/>
    <w:basedOn w:val="23"/>
    <w:qFormat/>
    <w:uiPriority w:val="37"/>
    <w:pPr>
      <w:wordWrap w:val="0"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autoSpaceDE/>
      <w:autoSpaceDN/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customStyle="1" w:styleId="29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30">
    <w:name w:val="Intense Emphasis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</w:rPr>
  </w:style>
  <w:style w:type="paragraph" w:styleId="32">
    <w:name w:val="Intense Quote"/>
    <w:qFormat/>
    <w:uiPriority w:val="22"/>
    <w:pPr>
      <w:wordWrap w:val="0"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</w:rPr>
  </w:style>
  <w:style w:type="character" w:customStyle="1" w:styleId="33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4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Book Title"/>
    <w:qFormat/>
    <w:uiPriority w:val="25"/>
    <w:rPr>
      <w:b/>
      <w:i/>
      <w:sz w:val="21"/>
      <w:szCs w:val="21"/>
    </w:rPr>
  </w:style>
  <w:style w:type="paragraph" w:styleId="36">
    <w:name w:val="List Paragraph"/>
    <w:qFormat/>
    <w:uiPriority w:val="26"/>
    <w:pPr>
      <w:wordWrap w:val="0"/>
      <w:autoSpaceDE/>
      <w:autoSpaceDN/>
      <w:ind w:left="850" w:firstLine="0"/>
      <w:jc w:val="both"/>
    </w:pPr>
    <w:rPr>
      <w:rFonts w:asciiTheme="minorHAnsi" w:hAnsiTheme="minorHAnsi" w:eastAsiaTheme="minorEastAsia" w:cstheme="minorBidi"/>
      <w:sz w:val="21"/>
      <w:szCs w:val="21"/>
    </w:rPr>
  </w:style>
  <w:style w:type="paragraph" w:customStyle="1" w:styleId="37">
    <w:name w:val="TOC Heading"/>
    <w:unhideWhenUsed/>
    <w:qFormat/>
    <w:uiPriority w:val="27"/>
    <w:pPr>
      <w:wordWrap w:val="0"/>
      <w:autoSpaceDE/>
      <w:autoSpaceDN/>
      <w:jc w:val="both"/>
    </w:pPr>
    <w:rPr>
      <w:rFonts w:asciiTheme="minorHAnsi" w:hAnsiTheme="minorHAnsi" w:eastAsiaTheme="minorEastAsia" w:cstheme="minorBidi"/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308</Characters>
  <Lines>0</Lines>
  <Paragraphs>0</Paragraphs>
  <TotalTime>5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2021-10-14T22:40:00Z</dcterms:created>
  <dc:creator>dell</dc:creator>
  <cp:lastModifiedBy>宏雨（牛碧）</cp:lastModifiedBy>
  <dcterms:modified xsi:type="dcterms:W3CDTF">2023-07-04T09:15:41Z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C1B568FF32254F58A0067894EF6039DF_13</vt:lpwstr>
  </property>
</Properties>
</file>